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D88" w:rsidRPr="00AB5D88" w:rsidRDefault="00AB5D88" w:rsidP="00AB5D88">
      <w:pPr>
        <w:spacing w:line="480" w:lineRule="auto"/>
        <w:rPr>
          <w:rFonts w:ascii="Times New Roman" w:hAnsi="Times New Roman" w:cs="Times New Roman"/>
          <w:sz w:val="24"/>
          <w:szCs w:val="24"/>
        </w:rPr>
      </w:pPr>
    </w:p>
    <w:p w:rsidR="00AB5D88" w:rsidRPr="00AB5D88" w:rsidRDefault="00AB5D88" w:rsidP="00AB5D88">
      <w:pPr>
        <w:spacing w:line="480" w:lineRule="auto"/>
        <w:rPr>
          <w:rFonts w:ascii="Times New Roman" w:hAnsi="Times New Roman" w:cs="Times New Roman"/>
          <w:sz w:val="24"/>
          <w:szCs w:val="24"/>
        </w:rPr>
      </w:pPr>
    </w:p>
    <w:p w:rsidR="00AB5D88" w:rsidRPr="00AB5D88" w:rsidRDefault="00AB5D88" w:rsidP="00AB5D88">
      <w:pPr>
        <w:spacing w:line="480" w:lineRule="auto"/>
        <w:rPr>
          <w:rFonts w:ascii="Times New Roman" w:hAnsi="Times New Roman" w:cs="Times New Roman"/>
          <w:sz w:val="24"/>
          <w:szCs w:val="24"/>
        </w:rPr>
      </w:pPr>
    </w:p>
    <w:p w:rsidR="00AB5D88" w:rsidRPr="00AB5D88" w:rsidRDefault="00AB5D88" w:rsidP="00AB5D88">
      <w:pPr>
        <w:spacing w:line="480" w:lineRule="auto"/>
        <w:rPr>
          <w:rFonts w:ascii="Times New Roman" w:hAnsi="Times New Roman" w:cs="Times New Roman"/>
          <w:sz w:val="24"/>
          <w:szCs w:val="24"/>
        </w:rPr>
      </w:pPr>
    </w:p>
    <w:p w:rsidR="00AB5D88" w:rsidRPr="00AB5D88" w:rsidRDefault="00AB5D88" w:rsidP="00AB5D88">
      <w:pPr>
        <w:spacing w:line="480" w:lineRule="auto"/>
        <w:rPr>
          <w:rFonts w:ascii="Times New Roman" w:hAnsi="Times New Roman" w:cs="Times New Roman"/>
          <w:sz w:val="24"/>
          <w:szCs w:val="24"/>
        </w:rPr>
      </w:pPr>
    </w:p>
    <w:p w:rsidR="00AB5D88" w:rsidRPr="00AB5D88" w:rsidRDefault="00AB5D88" w:rsidP="00AB5D88">
      <w:pPr>
        <w:spacing w:line="480" w:lineRule="auto"/>
        <w:jc w:val="center"/>
        <w:rPr>
          <w:rFonts w:ascii="Times New Roman" w:hAnsi="Times New Roman" w:cs="Times New Roman"/>
          <w:sz w:val="24"/>
          <w:szCs w:val="24"/>
        </w:rPr>
      </w:pPr>
      <w:r w:rsidRPr="00AB5D88">
        <w:rPr>
          <w:rFonts w:ascii="Times New Roman" w:hAnsi="Times New Roman" w:cs="Times New Roman"/>
          <w:sz w:val="24"/>
          <w:szCs w:val="24"/>
        </w:rPr>
        <w:t>A report on truck leasing</w:t>
      </w:r>
    </w:p>
    <w:p w:rsidR="00AB5D88" w:rsidRPr="00AB5D88" w:rsidRDefault="00AB5D88" w:rsidP="00AB5D88">
      <w:pPr>
        <w:spacing w:line="480" w:lineRule="auto"/>
        <w:jc w:val="center"/>
        <w:rPr>
          <w:rFonts w:ascii="Times New Roman" w:hAnsi="Times New Roman" w:cs="Times New Roman"/>
          <w:sz w:val="24"/>
          <w:szCs w:val="24"/>
        </w:rPr>
      </w:pPr>
      <w:r w:rsidRPr="00AB5D88">
        <w:rPr>
          <w:rFonts w:ascii="Times New Roman" w:hAnsi="Times New Roman" w:cs="Times New Roman"/>
          <w:sz w:val="24"/>
          <w:szCs w:val="24"/>
        </w:rPr>
        <w:t>Author Name</w:t>
      </w:r>
    </w:p>
    <w:p w:rsidR="00AB5D88" w:rsidRPr="00AB5D88" w:rsidRDefault="00AB5D88" w:rsidP="00AB5D88">
      <w:pPr>
        <w:spacing w:line="480" w:lineRule="auto"/>
        <w:jc w:val="center"/>
        <w:rPr>
          <w:rFonts w:ascii="Times New Roman" w:hAnsi="Times New Roman" w:cs="Times New Roman"/>
          <w:sz w:val="24"/>
          <w:szCs w:val="24"/>
        </w:rPr>
      </w:pPr>
      <w:r w:rsidRPr="00AB5D88">
        <w:rPr>
          <w:rFonts w:ascii="Times New Roman" w:hAnsi="Times New Roman" w:cs="Times New Roman"/>
          <w:sz w:val="24"/>
          <w:szCs w:val="24"/>
        </w:rPr>
        <w:t>Institutional Affiliation</w:t>
      </w:r>
    </w:p>
    <w:p w:rsidR="00E01ED0" w:rsidRPr="00AB5D88" w:rsidRDefault="00E01ED0"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br w:type="page"/>
      </w:r>
    </w:p>
    <w:p w:rsidR="00E01ED0" w:rsidRPr="00AB5D88" w:rsidRDefault="00E01ED0" w:rsidP="00AB5D88">
      <w:pPr>
        <w:spacing w:line="480" w:lineRule="auto"/>
        <w:jc w:val="center"/>
        <w:rPr>
          <w:rFonts w:ascii="Times New Roman" w:hAnsi="Times New Roman" w:cs="Times New Roman"/>
          <w:sz w:val="24"/>
          <w:szCs w:val="24"/>
        </w:rPr>
      </w:pPr>
      <w:r w:rsidRPr="00AB5D88">
        <w:rPr>
          <w:rFonts w:ascii="Times New Roman" w:hAnsi="Times New Roman" w:cs="Times New Roman"/>
          <w:sz w:val="24"/>
          <w:szCs w:val="24"/>
        </w:rPr>
        <w:lastRenderedPageBreak/>
        <w:t>A report on truck leasing</w:t>
      </w:r>
    </w:p>
    <w:p w:rsidR="00323062" w:rsidRPr="00AB5D88" w:rsidRDefault="00323062"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The Lessor comes to an agreement with the lessee to lease the property or service and the lessee hereby agrees to lease from the lessor. The agreement on leasing is outlined by the lease schedule that is launched by Lessor and Lessee in relation to Master Lease. Any additions, substitutions or accessions, as well as any replacements, are also included in Master Lease. The Leased Property confine all the services that are paid for by the Lessor in relation to the schedule of application. The Lease term of the lease commences on the date of acceptance and proceeds for the period of time that is entitled as the Base Term designated by the number of months in the applicable schedule that follows the commencement date. An operating lease is a contract signed between the Lessor and the Lessee allowing the usage of an asset. However, it does not transfer the legal rights of the asset ownership. (Bionovo, 2010). Converging into short-term lease and long-term lease. A short-term lease can be assumed to be an everyday occurrence where tax savings are not accounted for the leasing by the temporary user's ubiquity. Leasing economizes in terms of costs of assuring, detecting and maintenance of quality, search costs, and the risk-bearing costs. This point of view is derived on the economic reasoning standards and is encountered with various specific implications. (Frath, 1980)</w:t>
      </w:r>
    </w:p>
    <w:p w:rsidR="00323062" w:rsidRPr="00AB5D88" w:rsidRDefault="00323062"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 xml:space="preserve">A short-term lease can be evaluated on a month-to-month basis. This is evaluated for a period of three months or any period up to six months. For any period beyond six is no longer a short-term lease but is referred to a long-term lease. The landlords are more inclined to issue short-term leases distinctive areas where the availability of space demanded is exceeded by its demand. For this reason, the landlords maintain that they have preserved potential investors to elect with regard to the expiration of the leasing period. Chances of maintaining occupancy are prolific for the premises available and ensure a continued realization of income rental. A decision to either </w:t>
      </w:r>
      <w:r w:rsidRPr="00AB5D88">
        <w:rPr>
          <w:rFonts w:ascii="Times New Roman" w:hAnsi="Times New Roman" w:cs="Times New Roman"/>
          <w:sz w:val="24"/>
          <w:szCs w:val="24"/>
        </w:rPr>
        <w:lastRenderedPageBreak/>
        <w:t xml:space="preserve">agree on the short-term or long-term lease is highly dependent on the circumstances for individual distinctive property owners. However, the long-term lease provides significant security of income at large. </w:t>
      </w:r>
      <w:r w:rsidR="00E01ED0" w:rsidRPr="00AB5D88">
        <w:rPr>
          <w:rFonts w:ascii="Times New Roman" w:hAnsi="Times New Roman" w:cs="Times New Roman"/>
          <w:sz w:val="24"/>
          <w:szCs w:val="24"/>
        </w:rPr>
        <w:t>It’s</w:t>
      </w:r>
      <w:r w:rsidRPr="00AB5D88">
        <w:rPr>
          <w:rFonts w:ascii="Times New Roman" w:hAnsi="Times New Roman" w:cs="Times New Roman"/>
          <w:sz w:val="24"/>
          <w:szCs w:val="24"/>
        </w:rPr>
        <w:t xml:space="preserve"> accompanied by reduced fatigue to find new tenants frequently. This has been argued by (Rick Smith Realtor &amp; Patch Poster, 2013)</w:t>
      </w:r>
    </w:p>
    <w:p w:rsidR="00786E0E" w:rsidRPr="00AB5D88" w:rsidRDefault="00323062"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From the information provided, the strategy for leasing the trucks can be drafted as follows; Let X represent the total number of trucks that are acquired from a short-term lease and Y to represent that are acquired in a long-term lease. The daily fuel costs are approximately $100 per truck and the firm currently has 20 trucks of the type needed to perform the work on the new project. The total fuel cost consumed in a month is equivalent to $2,000. Given the costs for each of the four months covering the lease of a truck and driver: 1 month= $4,000, 2 months=$3,700, 3 months=$3,335 and for a period of 4 months=$3,040. The monthly cost for trucks obtained in a short-term plan will be as follows:</w:t>
      </w:r>
    </w:p>
    <w:tbl>
      <w:tblPr>
        <w:tblStyle w:val="TableGrid"/>
        <w:tblW w:w="0" w:type="auto"/>
        <w:tblLook w:val="04A0" w:firstRow="1" w:lastRow="0" w:firstColumn="1" w:lastColumn="0" w:noHBand="0" w:noVBand="1"/>
      </w:tblPr>
      <w:tblGrid>
        <w:gridCol w:w="2381"/>
        <w:gridCol w:w="2383"/>
        <w:gridCol w:w="2164"/>
        <w:gridCol w:w="2422"/>
      </w:tblGrid>
      <w:tr w:rsidR="007A0839" w:rsidRPr="00AB5D88" w:rsidTr="007A0839">
        <w:tc>
          <w:tcPr>
            <w:tcW w:w="2381" w:type="dxa"/>
          </w:tcPr>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 xml:space="preserve">Length of lease </w:t>
            </w:r>
          </w:p>
        </w:tc>
        <w:tc>
          <w:tcPr>
            <w:tcW w:w="2383" w:type="dxa"/>
          </w:tcPr>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 xml:space="preserve">Cost per month </w:t>
            </w: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(multiply cost by number of months)</w:t>
            </w:r>
          </w:p>
        </w:tc>
        <w:tc>
          <w:tcPr>
            <w:tcW w:w="2164" w:type="dxa"/>
          </w:tcPr>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Total fuel cost</w:t>
            </w: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(add)</w:t>
            </w:r>
          </w:p>
        </w:tc>
        <w:tc>
          <w:tcPr>
            <w:tcW w:w="2422" w:type="dxa"/>
          </w:tcPr>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 xml:space="preserve">Total cost for the period ending </w:t>
            </w:r>
          </w:p>
        </w:tc>
      </w:tr>
      <w:tr w:rsidR="007A0839" w:rsidRPr="00AB5D88" w:rsidTr="007A0839">
        <w:trPr>
          <w:trHeight w:val="800"/>
        </w:trPr>
        <w:tc>
          <w:tcPr>
            <w:tcW w:w="2381"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1</w:t>
            </w:r>
          </w:p>
        </w:tc>
        <w:tc>
          <w:tcPr>
            <w:tcW w:w="2383"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$4,000</w:t>
            </w:r>
          </w:p>
        </w:tc>
        <w:tc>
          <w:tcPr>
            <w:tcW w:w="2164"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$2,000</w:t>
            </w:r>
          </w:p>
        </w:tc>
        <w:tc>
          <w:tcPr>
            <w:tcW w:w="2422"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$6,000</w:t>
            </w:r>
          </w:p>
        </w:tc>
      </w:tr>
      <w:tr w:rsidR="007A0839" w:rsidRPr="00AB5D88" w:rsidTr="009122DC">
        <w:trPr>
          <w:trHeight w:val="800"/>
        </w:trPr>
        <w:tc>
          <w:tcPr>
            <w:tcW w:w="2381"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2</w:t>
            </w:r>
          </w:p>
        </w:tc>
        <w:tc>
          <w:tcPr>
            <w:tcW w:w="2383"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$3,700</w:t>
            </w:r>
          </w:p>
        </w:tc>
        <w:tc>
          <w:tcPr>
            <w:tcW w:w="2164"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$2,000</w:t>
            </w:r>
          </w:p>
        </w:tc>
        <w:tc>
          <w:tcPr>
            <w:tcW w:w="2422"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$9,400</w:t>
            </w:r>
          </w:p>
        </w:tc>
      </w:tr>
      <w:tr w:rsidR="007A0839" w:rsidRPr="00AB5D88" w:rsidTr="007A0839">
        <w:trPr>
          <w:trHeight w:val="890"/>
        </w:trPr>
        <w:tc>
          <w:tcPr>
            <w:tcW w:w="2381"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3</w:t>
            </w:r>
          </w:p>
        </w:tc>
        <w:tc>
          <w:tcPr>
            <w:tcW w:w="2383"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$3,335</w:t>
            </w:r>
          </w:p>
        </w:tc>
        <w:tc>
          <w:tcPr>
            <w:tcW w:w="2164"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$2,000</w:t>
            </w:r>
          </w:p>
        </w:tc>
        <w:tc>
          <w:tcPr>
            <w:tcW w:w="2422"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t>$11,675</w:t>
            </w:r>
          </w:p>
        </w:tc>
      </w:tr>
      <w:tr w:rsidR="007A0839" w:rsidRPr="00AB5D88" w:rsidTr="007A0839">
        <w:tc>
          <w:tcPr>
            <w:tcW w:w="2381"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lastRenderedPageBreak/>
              <w:t>4</w:t>
            </w:r>
          </w:p>
        </w:tc>
        <w:tc>
          <w:tcPr>
            <w:tcW w:w="2383"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lastRenderedPageBreak/>
              <w:t>$3,335</w:t>
            </w:r>
          </w:p>
        </w:tc>
        <w:tc>
          <w:tcPr>
            <w:tcW w:w="2164"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lastRenderedPageBreak/>
              <w:t>$2,000</w:t>
            </w:r>
          </w:p>
        </w:tc>
        <w:tc>
          <w:tcPr>
            <w:tcW w:w="2422" w:type="dxa"/>
          </w:tcPr>
          <w:p w:rsidR="007A0839" w:rsidRPr="00AB5D88" w:rsidRDefault="007A0839" w:rsidP="00AB5D88">
            <w:pPr>
              <w:spacing w:line="480" w:lineRule="auto"/>
              <w:rPr>
                <w:rFonts w:ascii="Times New Roman" w:hAnsi="Times New Roman" w:cs="Times New Roman"/>
                <w:sz w:val="24"/>
                <w:szCs w:val="24"/>
              </w:rPr>
            </w:pPr>
          </w:p>
          <w:p w:rsidR="007A0839" w:rsidRPr="00AB5D88" w:rsidRDefault="007A0839" w:rsidP="00AB5D88">
            <w:pPr>
              <w:spacing w:line="480" w:lineRule="auto"/>
              <w:rPr>
                <w:rFonts w:ascii="Times New Roman" w:hAnsi="Times New Roman" w:cs="Times New Roman"/>
                <w:sz w:val="24"/>
                <w:szCs w:val="24"/>
              </w:rPr>
            </w:pPr>
            <w:r w:rsidRPr="00AB5D88">
              <w:rPr>
                <w:rFonts w:ascii="Times New Roman" w:hAnsi="Times New Roman" w:cs="Times New Roman"/>
                <w:sz w:val="24"/>
                <w:szCs w:val="24"/>
              </w:rPr>
              <w:lastRenderedPageBreak/>
              <w:t>$14,160</w:t>
            </w:r>
          </w:p>
        </w:tc>
      </w:tr>
    </w:tbl>
    <w:p w:rsidR="007A0839" w:rsidRPr="00AB5D88" w:rsidRDefault="007A0839" w:rsidP="00AB5D88">
      <w:pPr>
        <w:spacing w:line="480" w:lineRule="auto"/>
        <w:rPr>
          <w:rFonts w:ascii="Times New Roman" w:hAnsi="Times New Roman" w:cs="Times New Roman"/>
          <w:sz w:val="24"/>
          <w:szCs w:val="24"/>
        </w:rPr>
      </w:pPr>
    </w:p>
    <w:p w:rsidR="00323062" w:rsidRPr="00AB5D88" w:rsidRDefault="00323062" w:rsidP="00AB5D88">
      <w:pPr>
        <w:pStyle w:val="NormalWeb"/>
        <w:shd w:val="clear" w:color="auto" w:fill="FFFFFF"/>
        <w:spacing w:before="225" w:after="150" w:line="480" w:lineRule="auto"/>
        <w:rPr>
          <w:rFonts w:eastAsiaTheme="minorHAnsi"/>
        </w:rPr>
      </w:pPr>
      <w:r w:rsidRPr="00AB5D88">
        <w:rPr>
          <w:rFonts w:eastAsiaTheme="minorHAnsi"/>
        </w:rPr>
        <w:t>The long-term leasing contract with CalState charges a monthly cost of $600 per truck while Reep Construction pays its truck drivers $20 an hour and daily fuel costs are approximately</w:t>
      </w:r>
    </w:p>
    <w:p w:rsidR="00323062" w:rsidRPr="00AB5D88" w:rsidRDefault="00323062" w:rsidP="00AB5D88">
      <w:pPr>
        <w:pStyle w:val="NormalWeb"/>
        <w:shd w:val="clear" w:color="auto" w:fill="FFFFFF"/>
        <w:spacing w:before="225" w:after="150" w:line="480" w:lineRule="auto"/>
        <w:rPr>
          <w:rFonts w:eastAsiaTheme="minorHAnsi"/>
        </w:rPr>
      </w:pPr>
      <w:r w:rsidRPr="00AB5D88">
        <w:rPr>
          <w:rFonts w:eastAsiaTheme="minorHAnsi"/>
        </w:rPr>
        <w:t>$100 per truck. However, Bob estimates that each truck will operate for 8 hours in a day to the new project, 5 days in a week and 4 weeks for each month in but this is outlined on basis of approximation. Through calculation for every month, each of the trucks will consume the following: $20 (8x5x4) + $100 (y) + $600 (y) = $3,200 + $700y.</w:t>
      </w:r>
    </w:p>
    <w:p w:rsidR="00323062" w:rsidRPr="00AB5D88" w:rsidRDefault="00323062" w:rsidP="00AB5D88">
      <w:pPr>
        <w:pStyle w:val="NormalWeb"/>
        <w:shd w:val="clear" w:color="auto" w:fill="FFFFFF"/>
        <w:spacing w:before="225" w:after="150" w:line="480" w:lineRule="auto"/>
        <w:rPr>
          <w:rFonts w:eastAsiaTheme="minorHAnsi"/>
        </w:rPr>
      </w:pPr>
      <w:r w:rsidRPr="00AB5D88">
        <w:rPr>
          <w:rFonts w:eastAsiaTheme="minorHAnsi"/>
        </w:rPr>
        <w:t xml:space="preserve">The available trucks in a firm are currently 20 that are need to operate in the new project of which most of the trucks readily available are still being used in the existing jobs within the firm. However, Bob estimated the trucks that will be available to the firm for operation to be as follows: 1 truck will be available for use on the new project in month 1, 2 trucks will be available in month 2, 3 trucks will be available in month 3, and 1 truck will be available in month 4. In minimizing cost for optimal leasing plan will be: $6,000×1 + $9,400×2 + $11,675×3 + $14,160×4 + $3,200 + $700y Y1 &lt; 1, Y2 &lt; 2, Y3 &lt; 3, Y4 &lt; 1, X1 + y1 = 10, X2 + y2 = 12, x3 + y3 = 14 and x4 + y4 = 8 2. This is the cost associated with optimal leasing plan. Therefore, the optimal leasing plan will be $6,000 (9) + $3,200 + $700 (1) = $57,900 and $9,400 (10) + $3,200 + $700 (2) = $98,600 and $11,675 (11) + $3,200 + $700 (3) = $133,725 and finally $14,160 (7) + $3,200 + $700 (1) = $103,020. For this reason, the total cost that is associated with the leasing plan is $57,900 + $98,600 + $133,725 + $103,020 = $393,245. </w:t>
      </w:r>
    </w:p>
    <w:p w:rsidR="00323062" w:rsidRPr="00AB5D88" w:rsidRDefault="00323062" w:rsidP="00AB5D88">
      <w:pPr>
        <w:pStyle w:val="NormalWeb"/>
        <w:shd w:val="clear" w:color="auto" w:fill="FFFFFF"/>
        <w:spacing w:before="225" w:after="150" w:line="480" w:lineRule="auto"/>
        <w:rPr>
          <w:rFonts w:eastAsiaTheme="minorHAnsi"/>
        </w:rPr>
      </w:pPr>
      <w:r w:rsidRPr="00AB5D88">
        <w:rPr>
          <w:rFonts w:eastAsiaTheme="minorHAnsi"/>
        </w:rPr>
        <w:lastRenderedPageBreak/>
        <w:t xml:space="preserve">This is the cost that Reep </w:t>
      </w:r>
      <w:r w:rsidR="00E01ED0" w:rsidRPr="00AB5D88">
        <w:rPr>
          <w:rFonts w:eastAsiaTheme="minorHAnsi"/>
        </w:rPr>
        <w:t>Construction Company</w:t>
      </w:r>
      <w:r w:rsidRPr="00AB5D88">
        <w:rPr>
          <w:rFonts w:eastAsiaTheme="minorHAnsi"/>
        </w:rPr>
        <w:t xml:space="preserve"> should uphold its policy of no payoffs. If the firm decides to deduct the amount paid to the driver which is equivalent to $3,200 of, the total cost will be $6,000 (9) + $700 (1) = $54,700 $9,400 (10) +$700 (2) = $95,400 $11,675 (11) + $700 (3) = $130,525 $14,160 (7) +$700 (1) = $99,820 And the new total cost is $54,700 + $95,400 + $130,525 + $99,800 = $380,465. Thus, if Reep maintains their current policy of no layoffs they will incur an additional cost of $12,800 which is obtained from the difference of $393,245 and $380,445 </w:t>
      </w:r>
    </w:p>
    <w:p w:rsidR="00323062" w:rsidRPr="00AB5D88" w:rsidRDefault="00323062" w:rsidP="00AB5D88">
      <w:pPr>
        <w:pStyle w:val="NormalWeb"/>
        <w:shd w:val="clear" w:color="auto" w:fill="FFFFFF"/>
        <w:spacing w:before="225" w:after="150" w:line="480" w:lineRule="auto"/>
        <w:rPr>
          <w:rFonts w:eastAsiaTheme="minorHAnsi"/>
        </w:rPr>
      </w:pPr>
      <w:r w:rsidRPr="00AB5D88">
        <w:rPr>
          <w:rFonts w:eastAsiaTheme="minorHAnsi"/>
        </w:rPr>
        <w:t xml:space="preserve">The accommodative government policy years have granted freedom to the companies to enjoy the </w:t>
      </w:r>
      <w:r w:rsidR="00E01ED0" w:rsidRPr="00AB5D88">
        <w:rPr>
          <w:rFonts w:eastAsiaTheme="minorHAnsi"/>
        </w:rPr>
        <w:t>fore deal</w:t>
      </w:r>
      <w:r w:rsidRPr="00AB5D88">
        <w:rPr>
          <w:rFonts w:eastAsiaTheme="minorHAnsi"/>
        </w:rPr>
        <w:t xml:space="preserve"> of cheap labor low-interest rates and are deriving corporate profits. Bearing the fact on financial crisis scenario, the CEOs are obligated to accomplish their financial goals and generate profits in an ethical way. This should be I accordance to a socially responsible manner. The shareholders are focused to ensure that the corporate leaders are performing as good stewards and declare trusted results. </w:t>
      </w:r>
    </w:p>
    <w:p w:rsidR="00323062" w:rsidRPr="00AB5D88" w:rsidRDefault="00323062" w:rsidP="00AB5D88">
      <w:pPr>
        <w:pStyle w:val="NormalWeb"/>
        <w:shd w:val="clear" w:color="auto" w:fill="FFFFFF"/>
        <w:spacing w:before="225" w:after="150" w:line="480" w:lineRule="auto"/>
        <w:rPr>
          <w:rFonts w:eastAsiaTheme="minorHAnsi"/>
        </w:rPr>
      </w:pPr>
      <w:r w:rsidRPr="00AB5D88">
        <w:rPr>
          <w:rFonts w:eastAsiaTheme="minorHAnsi"/>
        </w:rPr>
        <w:t xml:space="preserve">Some of the most successful companies in the United States of America are operating in accordance with the leadership of Max L. Stackhouse, the renowned professor emeritus of the reformed theology at the seminary of Princeton. This is outlined in the Moral Business. He denoted that the business leaders fiscal agents of civilization. There is a second edition that is entitled "Firms of Endearment" that has been issued recently by Jag Sheth, Sisodia, and David B. Wolfe be-writes of a movement of a modern and spiritual-religious who are fully concerned with the progress of the employees, the customers, society and the stakeholders of the company. They form an association with the stakeholders in an emotional manner with the key objective of </w:t>
      </w:r>
      <w:r w:rsidRPr="00AB5D88">
        <w:rPr>
          <w:rFonts w:eastAsiaTheme="minorHAnsi"/>
        </w:rPr>
        <w:lastRenderedPageBreak/>
        <w:t xml:space="preserve">yielding value leads in improved shareholders returns. The authors report that the companies are held responsible for economic performance and the actions pertaining to their humanism. </w:t>
      </w:r>
    </w:p>
    <w:p w:rsidR="00323062" w:rsidRPr="00AB5D88" w:rsidRDefault="00323062" w:rsidP="00AB5D88">
      <w:pPr>
        <w:pStyle w:val="NormalWeb"/>
        <w:shd w:val="clear" w:color="auto" w:fill="FFFFFF"/>
        <w:spacing w:before="225" w:after="150" w:line="480" w:lineRule="auto"/>
        <w:rPr>
          <w:rFonts w:eastAsiaTheme="minorHAnsi"/>
        </w:rPr>
      </w:pPr>
      <w:r w:rsidRPr="00AB5D88">
        <w:rPr>
          <w:rFonts w:eastAsiaTheme="minorHAnsi"/>
        </w:rPr>
        <w:t>An individual who is in the process of starting a small business is likely to be faced with making a decision on whether to buy or else purchase their own commercial space. It is recommendable for these young entrepreneurs to put a number of issues into consideration o making their final decision. It should be noted that a person is subjected to the mandate of using an asset when leased and when the property is purchased. (Adam Burroughs 2017)</w:t>
      </w:r>
    </w:p>
    <w:p w:rsidR="00323062" w:rsidRPr="00AB5D88" w:rsidRDefault="00323062" w:rsidP="00AB5D88">
      <w:pPr>
        <w:pStyle w:val="NormalWeb"/>
        <w:shd w:val="clear" w:color="auto" w:fill="FFFFFF"/>
        <w:spacing w:before="225" w:beforeAutospacing="0" w:after="150" w:afterAutospacing="0" w:line="480" w:lineRule="auto"/>
        <w:rPr>
          <w:color w:val="111111"/>
          <w:shd w:val="clear" w:color="auto" w:fill="FFFFFF"/>
        </w:rPr>
      </w:pPr>
      <w:r w:rsidRPr="00AB5D88">
        <w:rPr>
          <w:rFonts w:eastAsiaTheme="minorHAnsi"/>
        </w:rPr>
        <w:t>A better way to decide on the right approach on the purchase or property leasing is to do a cash flow analysis for the purpose of comparing the economics. This will help to calculate an estimate of the amount that is needed to cover the costs after taxation of each alternative.</w:t>
      </w:r>
      <w:r w:rsidR="005178BB">
        <w:rPr>
          <w:rFonts w:eastAsiaTheme="minorHAnsi"/>
        </w:rPr>
        <w:t xml:space="preserve"> </w:t>
      </w:r>
      <w:r w:rsidR="005178BB" w:rsidRPr="00AB5D88">
        <w:rPr>
          <w:rFonts w:eastAsiaTheme="minorHAnsi"/>
        </w:rPr>
        <w:t>The leasing plan is beneficial to the Lessee bearing the fact that the initial capital outlay is less compared to the cost of purchasing. On the other hand, purchasing an asset allows an individual to end up paying less in the long run than when leased. In addition, there is a benefit earned from the value of appreciation of an asset.</w:t>
      </w:r>
      <w:bookmarkStart w:id="0" w:name="_GoBack"/>
      <w:bookmarkEnd w:id="0"/>
    </w:p>
    <w:p w:rsidR="00323062" w:rsidRPr="00AB5D88" w:rsidRDefault="00323062" w:rsidP="00AB5D88">
      <w:pPr>
        <w:pStyle w:val="NormalWeb"/>
        <w:shd w:val="clear" w:color="auto" w:fill="FFFFFF"/>
        <w:spacing w:before="225" w:beforeAutospacing="0" w:after="150" w:afterAutospacing="0" w:line="480" w:lineRule="auto"/>
        <w:rPr>
          <w:color w:val="111111"/>
          <w:shd w:val="clear" w:color="auto" w:fill="FFFFFF"/>
        </w:rPr>
      </w:pPr>
    </w:p>
    <w:p w:rsidR="00323062" w:rsidRPr="00AB5D88" w:rsidRDefault="00323062" w:rsidP="00AB5D88">
      <w:pPr>
        <w:pStyle w:val="NormalWeb"/>
        <w:shd w:val="clear" w:color="auto" w:fill="FFFFFF"/>
        <w:spacing w:before="225" w:beforeAutospacing="0" w:after="150" w:afterAutospacing="0" w:line="480" w:lineRule="auto"/>
        <w:rPr>
          <w:color w:val="111111"/>
          <w:shd w:val="clear" w:color="auto" w:fill="FFFFFF"/>
        </w:rPr>
      </w:pPr>
    </w:p>
    <w:p w:rsidR="00323062" w:rsidRPr="00AB5D88" w:rsidRDefault="00323062" w:rsidP="00AB5D88">
      <w:pPr>
        <w:pStyle w:val="NormalWeb"/>
        <w:shd w:val="clear" w:color="auto" w:fill="FFFFFF"/>
        <w:spacing w:before="225" w:beforeAutospacing="0" w:after="150" w:afterAutospacing="0" w:line="480" w:lineRule="auto"/>
        <w:rPr>
          <w:color w:val="111111"/>
          <w:shd w:val="clear" w:color="auto" w:fill="FFFFFF"/>
        </w:rPr>
      </w:pPr>
    </w:p>
    <w:p w:rsidR="00323062" w:rsidRPr="00AB5D88" w:rsidRDefault="00323062" w:rsidP="00AB5D88">
      <w:pPr>
        <w:pStyle w:val="NormalWeb"/>
        <w:shd w:val="clear" w:color="auto" w:fill="FFFFFF"/>
        <w:spacing w:before="225" w:beforeAutospacing="0" w:after="150" w:afterAutospacing="0" w:line="480" w:lineRule="auto"/>
        <w:rPr>
          <w:color w:val="111111"/>
          <w:shd w:val="clear" w:color="auto" w:fill="FFFFFF"/>
        </w:rPr>
      </w:pPr>
    </w:p>
    <w:p w:rsidR="00E01ED0" w:rsidRPr="00AB5D88" w:rsidRDefault="00E01ED0" w:rsidP="00AB5D88">
      <w:pPr>
        <w:pStyle w:val="NormalWeb"/>
        <w:shd w:val="clear" w:color="auto" w:fill="FFFFFF"/>
        <w:spacing w:before="225" w:beforeAutospacing="0" w:after="150" w:afterAutospacing="0" w:line="480" w:lineRule="auto"/>
        <w:rPr>
          <w:color w:val="111111"/>
          <w:shd w:val="clear" w:color="auto" w:fill="FFFFFF"/>
        </w:rPr>
      </w:pPr>
    </w:p>
    <w:p w:rsidR="00E01ED0" w:rsidRPr="00AB5D88" w:rsidRDefault="00E01ED0" w:rsidP="00AB5D88">
      <w:pPr>
        <w:pStyle w:val="NormalWeb"/>
        <w:shd w:val="clear" w:color="auto" w:fill="FFFFFF"/>
        <w:spacing w:before="225" w:beforeAutospacing="0" w:after="150" w:afterAutospacing="0" w:line="480" w:lineRule="auto"/>
        <w:rPr>
          <w:color w:val="111111"/>
          <w:shd w:val="clear" w:color="auto" w:fill="FFFFFF"/>
        </w:rPr>
      </w:pPr>
    </w:p>
    <w:p w:rsidR="00D44DFA" w:rsidRPr="00AB5D88" w:rsidRDefault="00D44DFA" w:rsidP="00AB5D88">
      <w:pPr>
        <w:pStyle w:val="cpformat"/>
        <w:spacing w:before="0" w:beforeAutospacing="0" w:after="0" w:afterAutospacing="0" w:line="480" w:lineRule="auto"/>
        <w:ind w:left="720" w:right="75" w:hanging="720"/>
        <w:jc w:val="center"/>
      </w:pPr>
      <w:r w:rsidRPr="00AB5D88">
        <w:lastRenderedPageBreak/>
        <w:t>Reference</w:t>
      </w:r>
    </w:p>
    <w:p w:rsidR="00323062" w:rsidRPr="00AB5D88" w:rsidRDefault="00323062" w:rsidP="009122DC">
      <w:pPr>
        <w:pStyle w:val="NormalWeb"/>
        <w:shd w:val="clear" w:color="auto" w:fill="FFFFFF"/>
        <w:spacing w:before="225" w:beforeAutospacing="0" w:after="150" w:afterAutospacing="0" w:line="480" w:lineRule="auto"/>
        <w:ind w:left="2160" w:hanging="720"/>
        <w:rPr>
          <w:color w:val="000000"/>
          <w:shd w:val="clear" w:color="auto" w:fill="FFFFFF"/>
        </w:rPr>
      </w:pPr>
      <w:r w:rsidRPr="00AB5D88">
        <w:rPr>
          <w:color w:val="000000"/>
          <w:shd w:val="clear" w:color="auto" w:fill="FFFFFF"/>
        </w:rPr>
        <w:t xml:space="preserve">Adam Burroughs. (2017). Lease or buy? Factors to consider before buying new equipment. Retrieved from </w:t>
      </w:r>
      <w:r w:rsidRPr="009122DC">
        <w:rPr>
          <w:color w:val="000000"/>
          <w:shd w:val="clear" w:color="auto" w:fill="FFFFFF"/>
        </w:rPr>
        <w:t>http://www.sbnonline.com/article/lease-buy-factors-consider-buying-new-equipment/</w:t>
      </w:r>
    </w:p>
    <w:p w:rsidR="00D328BA" w:rsidRPr="00AB5D88" w:rsidRDefault="00444739" w:rsidP="009122DC">
      <w:pPr>
        <w:pStyle w:val="cpformat"/>
        <w:spacing w:before="0" w:beforeAutospacing="0" w:after="0" w:afterAutospacing="0" w:line="480" w:lineRule="auto"/>
        <w:ind w:left="2160" w:right="75" w:hanging="720"/>
      </w:pPr>
      <w:r w:rsidRPr="00AB5D88">
        <w:t>Bionovo. (2010</w:t>
      </w:r>
      <w:r w:rsidR="00D328BA" w:rsidRPr="00AB5D88">
        <w:t>). Master Lease Agreement. Retrieved from https://www.lawinsider.com/contracts/2PFRxTZB4Vur2F40BydBpG/bionovo/1203957/2010-11-12#scope-of-lease</w:t>
      </w:r>
    </w:p>
    <w:p w:rsidR="00D328BA" w:rsidRPr="00AB5D88" w:rsidRDefault="009530DB" w:rsidP="009122DC">
      <w:pPr>
        <w:pStyle w:val="NormalWeb"/>
        <w:shd w:val="clear" w:color="auto" w:fill="FFFFFF"/>
        <w:spacing w:before="225" w:beforeAutospacing="0" w:after="150" w:afterAutospacing="0" w:line="480" w:lineRule="auto"/>
        <w:ind w:left="2160" w:hanging="720"/>
        <w:rPr>
          <w:color w:val="000000"/>
          <w:shd w:val="clear" w:color="auto" w:fill="FFFFFF"/>
        </w:rPr>
      </w:pPr>
      <w:r w:rsidRPr="00AB5D88">
        <w:rPr>
          <w:color w:val="000000"/>
          <w:shd w:val="clear" w:color="auto" w:fill="FFFFFF"/>
        </w:rPr>
        <w:t xml:space="preserve">David Frath. (1980). </w:t>
      </w:r>
      <w:r w:rsidR="00E01ED0" w:rsidRPr="00AB5D88">
        <w:rPr>
          <w:color w:val="000000"/>
          <w:shd w:val="clear" w:color="auto" w:fill="FFFFFF"/>
        </w:rPr>
        <w:t>the</w:t>
      </w:r>
      <w:r w:rsidRPr="00AB5D88">
        <w:rPr>
          <w:color w:val="000000"/>
          <w:shd w:val="clear" w:color="auto" w:fill="FFFFFF"/>
        </w:rPr>
        <w:t xml:space="preserve"> Economic of Short-term Leasing</w:t>
      </w:r>
      <w:r w:rsidRPr="00AB5D88">
        <w:rPr>
          <w:color w:val="000000"/>
          <w:shd w:val="clear" w:color="auto" w:fill="FFFFFF"/>
        </w:rPr>
        <w:t xml:space="preserve">. Retrieved from </w:t>
      </w:r>
      <w:r w:rsidR="000F3B7F" w:rsidRPr="00AB5D88">
        <w:rPr>
          <w:color w:val="000000"/>
          <w:shd w:val="clear" w:color="auto" w:fill="FFFFFF"/>
        </w:rPr>
        <w:t>https://onlinelibrary.wiley.com/doi/abs/10.1111/j.1465-7295.1980.tb00573.x</w:t>
      </w:r>
    </w:p>
    <w:p w:rsidR="00323062" w:rsidRPr="00AB5D88" w:rsidRDefault="00323062" w:rsidP="009122DC">
      <w:pPr>
        <w:pStyle w:val="NormalWeb"/>
        <w:shd w:val="clear" w:color="auto" w:fill="FFFFFF"/>
        <w:spacing w:before="225" w:beforeAutospacing="0" w:after="150" w:afterAutospacing="0" w:line="480" w:lineRule="auto"/>
        <w:ind w:left="2160" w:hanging="720"/>
        <w:rPr>
          <w:color w:val="666666"/>
          <w:spacing w:val="15"/>
        </w:rPr>
      </w:pPr>
      <w:r w:rsidRPr="00AB5D88">
        <w:rPr>
          <w:color w:val="000000"/>
          <w:shd w:val="clear" w:color="auto" w:fill="FFFFFF"/>
        </w:rPr>
        <w:t>Rick Smith Realtor, &amp; Patch Poster. (2013). Short Term Vs. Long Term Leases – What The Property Owner Should Know. Retrieved from https://patch.com/california/cupertino/short-term-vs-long-term-leases--what-the-property-owner-should-know</w:t>
      </w:r>
    </w:p>
    <w:p w:rsidR="00636DF3" w:rsidRPr="00AB5D88" w:rsidRDefault="00636DF3" w:rsidP="00AB5D88">
      <w:pPr>
        <w:spacing w:line="480" w:lineRule="auto"/>
        <w:rPr>
          <w:rFonts w:ascii="Times New Roman" w:hAnsi="Times New Roman" w:cs="Times New Roman"/>
          <w:sz w:val="24"/>
          <w:szCs w:val="24"/>
        </w:rPr>
      </w:pPr>
    </w:p>
    <w:p w:rsidR="00786E0E" w:rsidRPr="00AB5D88" w:rsidRDefault="00786E0E" w:rsidP="00AB5D88">
      <w:pPr>
        <w:spacing w:line="480" w:lineRule="auto"/>
        <w:rPr>
          <w:rFonts w:ascii="Times New Roman" w:hAnsi="Times New Roman" w:cs="Times New Roman"/>
          <w:sz w:val="24"/>
          <w:szCs w:val="24"/>
        </w:rPr>
      </w:pPr>
    </w:p>
    <w:p w:rsidR="00786E0E" w:rsidRPr="00AB5D88" w:rsidRDefault="00786E0E" w:rsidP="00AB5D88">
      <w:pPr>
        <w:spacing w:line="480" w:lineRule="auto"/>
        <w:rPr>
          <w:rFonts w:ascii="Times New Roman" w:hAnsi="Times New Roman" w:cs="Times New Roman"/>
          <w:sz w:val="24"/>
          <w:szCs w:val="24"/>
        </w:rPr>
      </w:pPr>
    </w:p>
    <w:p w:rsidR="00786E0E" w:rsidRPr="00AB5D88" w:rsidRDefault="00786E0E" w:rsidP="00AB5D88">
      <w:pPr>
        <w:spacing w:line="480" w:lineRule="auto"/>
        <w:rPr>
          <w:rFonts w:ascii="Times New Roman" w:hAnsi="Times New Roman" w:cs="Times New Roman"/>
          <w:sz w:val="24"/>
          <w:szCs w:val="24"/>
        </w:rPr>
      </w:pPr>
    </w:p>
    <w:sectPr w:rsidR="00786E0E" w:rsidRPr="00AB5D88" w:rsidSect="007367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C3C" w:rsidRDefault="00386C3C" w:rsidP="00D44DFA">
      <w:pPr>
        <w:spacing w:after="0" w:line="240" w:lineRule="auto"/>
      </w:pPr>
      <w:r>
        <w:separator/>
      </w:r>
    </w:p>
  </w:endnote>
  <w:endnote w:type="continuationSeparator" w:id="0">
    <w:p w:rsidR="00386C3C" w:rsidRDefault="00386C3C" w:rsidP="00D44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C3C" w:rsidRDefault="00386C3C" w:rsidP="00D44DFA">
      <w:pPr>
        <w:spacing w:after="0" w:line="240" w:lineRule="auto"/>
      </w:pPr>
      <w:r>
        <w:separator/>
      </w:r>
    </w:p>
  </w:footnote>
  <w:footnote w:type="continuationSeparator" w:id="0">
    <w:p w:rsidR="00386C3C" w:rsidRDefault="00386C3C" w:rsidP="00D44D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8181256"/>
      <w:docPartObj>
        <w:docPartGallery w:val="Page Numbers (Top of Page)"/>
        <w:docPartUnique/>
      </w:docPartObj>
    </w:sdtPr>
    <w:sdtEndPr>
      <w:rPr>
        <w:noProof/>
      </w:rPr>
    </w:sdtEndPr>
    <w:sdtContent>
      <w:p w:rsidR="00AB5D88" w:rsidRDefault="00AB5D88">
        <w:pPr>
          <w:pStyle w:val="Header"/>
          <w:jc w:val="right"/>
        </w:pPr>
        <w:r>
          <w:t xml:space="preserve">Running head: A REPORT ON TRUCK LEASING                                                                                                        </w:t>
        </w:r>
        <w:r>
          <w:fldChar w:fldCharType="begin"/>
        </w:r>
        <w:r>
          <w:instrText xml:space="preserve"> PAGE   \* MERGEFORMAT </w:instrText>
        </w:r>
        <w:r>
          <w:fldChar w:fldCharType="separate"/>
        </w:r>
        <w:r w:rsidR="005178BB">
          <w:rPr>
            <w:noProof/>
          </w:rPr>
          <w:t>7</w:t>
        </w:r>
        <w:r>
          <w:rPr>
            <w:noProof/>
          </w:rPr>
          <w:fldChar w:fldCharType="end"/>
        </w:r>
      </w:p>
    </w:sdtContent>
  </w:sdt>
  <w:p w:rsidR="00AB5D88" w:rsidRDefault="00AB5D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E0E"/>
    <w:rsid w:val="00001027"/>
    <w:rsid w:val="000A466E"/>
    <w:rsid w:val="000F3B7F"/>
    <w:rsid w:val="001404DB"/>
    <w:rsid w:val="001708B1"/>
    <w:rsid w:val="00180483"/>
    <w:rsid w:val="00296CE3"/>
    <w:rsid w:val="002C4AB5"/>
    <w:rsid w:val="002D0F34"/>
    <w:rsid w:val="002F0453"/>
    <w:rsid w:val="00323062"/>
    <w:rsid w:val="00360ECD"/>
    <w:rsid w:val="00386C3C"/>
    <w:rsid w:val="00444739"/>
    <w:rsid w:val="004E329A"/>
    <w:rsid w:val="005178BB"/>
    <w:rsid w:val="005A699E"/>
    <w:rsid w:val="00634A7C"/>
    <w:rsid w:val="00636DF3"/>
    <w:rsid w:val="006716A3"/>
    <w:rsid w:val="006818E9"/>
    <w:rsid w:val="006B1232"/>
    <w:rsid w:val="00717360"/>
    <w:rsid w:val="00736748"/>
    <w:rsid w:val="00786E0E"/>
    <w:rsid w:val="007A0839"/>
    <w:rsid w:val="00880B3E"/>
    <w:rsid w:val="00900604"/>
    <w:rsid w:val="009122DC"/>
    <w:rsid w:val="00914459"/>
    <w:rsid w:val="0093054D"/>
    <w:rsid w:val="009530DB"/>
    <w:rsid w:val="009858D3"/>
    <w:rsid w:val="00AB5D88"/>
    <w:rsid w:val="00B54B54"/>
    <w:rsid w:val="00B66F0B"/>
    <w:rsid w:val="00C24AB9"/>
    <w:rsid w:val="00D134FE"/>
    <w:rsid w:val="00D13DA9"/>
    <w:rsid w:val="00D328BA"/>
    <w:rsid w:val="00D44997"/>
    <w:rsid w:val="00D44DFA"/>
    <w:rsid w:val="00E01ED0"/>
    <w:rsid w:val="00E05656"/>
    <w:rsid w:val="00E12D4A"/>
    <w:rsid w:val="00EB6C53"/>
    <w:rsid w:val="00F85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27FD76-EEE2-4156-B6C7-7BA0E8734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0E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format">
    <w:name w:val="cpformat"/>
    <w:basedOn w:val="Normal"/>
    <w:rsid w:val="00D328B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4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DFA"/>
  </w:style>
  <w:style w:type="paragraph" w:styleId="Footer">
    <w:name w:val="footer"/>
    <w:basedOn w:val="Normal"/>
    <w:link w:val="FooterChar"/>
    <w:uiPriority w:val="99"/>
    <w:unhideWhenUsed/>
    <w:rsid w:val="00D44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DFA"/>
  </w:style>
  <w:style w:type="character" w:styleId="Hyperlink">
    <w:name w:val="Hyperlink"/>
    <w:basedOn w:val="DefaultParagraphFont"/>
    <w:uiPriority w:val="99"/>
    <w:unhideWhenUsed/>
    <w:rsid w:val="000F3B7F"/>
    <w:rPr>
      <w:color w:val="0563C1" w:themeColor="hyperlink"/>
      <w:u w:val="single"/>
    </w:rPr>
  </w:style>
  <w:style w:type="table" w:styleId="TableGrid">
    <w:name w:val="Table Grid"/>
    <w:basedOn w:val="TableNormal"/>
    <w:uiPriority w:val="39"/>
    <w:rsid w:val="007A08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72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7</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22</cp:revision>
  <dcterms:created xsi:type="dcterms:W3CDTF">2018-12-20T03:22:00Z</dcterms:created>
  <dcterms:modified xsi:type="dcterms:W3CDTF">2018-12-20T05:43:00Z</dcterms:modified>
</cp:coreProperties>
</file>